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DB7970F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166E9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6F96B0B" w:rsidR="00F64E2F" w:rsidRPr="00D12774" w:rsidRDefault="00F64E2F" w:rsidP="00745655">
            <w:pPr>
              <w:tabs>
                <w:tab w:val="center" w:pos="7454"/>
              </w:tabs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ab/>
            </w:r>
          </w:p>
          <w:p w14:paraId="1323D468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0518A2A" w14:textId="5E154AA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15ABD635" w14:textId="77777777" w:rsidR="00745655" w:rsidRPr="00166E9F" w:rsidRDefault="00745655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k-SK"/>
              </w:rPr>
            </w:pPr>
          </w:p>
          <w:p w14:paraId="0EA5B0AC" w14:textId="7D523089" w:rsidR="00745655" w:rsidRPr="00773273" w:rsidRDefault="00745655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166E9F">
              <w:rPr>
                <w:b/>
                <w:bCs/>
                <w:szCs w:val="22"/>
              </w:rPr>
              <w:t>Projekty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predkladané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</w:t>
            </w:r>
            <w:proofErr w:type="spellStart"/>
            <w:r w:rsidRPr="00166E9F">
              <w:rPr>
                <w:b/>
                <w:bCs/>
                <w:szCs w:val="22"/>
              </w:rPr>
              <w:t>rámci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SK NACE </w:t>
            </w:r>
            <w:proofErr w:type="spellStart"/>
            <w:r w:rsidRPr="00166E9F">
              <w:rPr>
                <w:b/>
                <w:bCs/>
                <w:szCs w:val="22"/>
              </w:rPr>
              <w:t>mimo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negatívneho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zoznamu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ekonomických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činností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uvedených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vyššie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(t. j. </w:t>
            </w:r>
            <w:proofErr w:type="spellStart"/>
            <w:r w:rsidRPr="00166E9F">
              <w:rPr>
                <w:b/>
                <w:bCs/>
                <w:szCs w:val="22"/>
              </w:rPr>
              <w:t>ktoré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sú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vylúčené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z </w:t>
            </w:r>
            <w:proofErr w:type="spellStart"/>
            <w:r w:rsidRPr="00166E9F">
              <w:rPr>
                <w:b/>
                <w:bCs/>
                <w:szCs w:val="22"/>
              </w:rPr>
              <w:t>podpory</w:t>
            </w:r>
            <w:proofErr w:type="spellEnd"/>
            <w:r w:rsidRPr="00166E9F">
              <w:rPr>
                <w:b/>
                <w:bCs/>
                <w:szCs w:val="22"/>
              </w:rPr>
              <w:t xml:space="preserve">), </w:t>
            </w:r>
            <w:proofErr w:type="spellStart"/>
            <w:r w:rsidRPr="00166E9F">
              <w:rPr>
                <w:b/>
                <w:bCs/>
                <w:szCs w:val="22"/>
              </w:rPr>
              <w:t>sú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oprávnené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len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tom </w:t>
            </w:r>
            <w:proofErr w:type="spellStart"/>
            <w:r w:rsidRPr="00166E9F">
              <w:rPr>
                <w:b/>
                <w:bCs/>
                <w:szCs w:val="22"/>
              </w:rPr>
              <w:t>prípade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, </w:t>
            </w:r>
            <w:proofErr w:type="spellStart"/>
            <w:r w:rsidRPr="00166E9F">
              <w:rPr>
                <w:b/>
                <w:bCs/>
                <w:szCs w:val="22"/>
              </w:rPr>
              <w:t>ak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takýto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projekt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nebol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schválený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</w:t>
            </w:r>
            <w:proofErr w:type="spellStart"/>
            <w:r w:rsidRPr="00166E9F">
              <w:rPr>
                <w:b/>
                <w:bCs/>
                <w:szCs w:val="22"/>
              </w:rPr>
              <w:t>rámci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Stratégie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CLLD, </w:t>
            </w:r>
            <w:proofErr w:type="spellStart"/>
            <w:r w:rsidRPr="00166E9F">
              <w:rPr>
                <w:b/>
                <w:bCs/>
                <w:szCs w:val="22"/>
              </w:rPr>
              <w:t>časť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PRV, o </w:t>
            </w:r>
            <w:proofErr w:type="spellStart"/>
            <w:r w:rsidRPr="00166E9F">
              <w:rPr>
                <w:b/>
                <w:bCs/>
                <w:szCs w:val="22"/>
              </w:rPr>
              <w:t>čom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žiadateľ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predkladá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samostatné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čestné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vyhlásenie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. </w:t>
            </w:r>
            <w:proofErr w:type="spellStart"/>
            <w:r w:rsidRPr="00166E9F">
              <w:rPr>
                <w:b/>
                <w:bCs/>
                <w:szCs w:val="22"/>
              </w:rPr>
              <w:t>Vnútorné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vybavenie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ubytovacích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zariadení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je </w:t>
            </w:r>
            <w:proofErr w:type="spellStart"/>
            <w:r w:rsidRPr="00166E9F">
              <w:rPr>
                <w:b/>
                <w:bCs/>
                <w:szCs w:val="22"/>
              </w:rPr>
              <w:t>neoprávneným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výdavkom</w:t>
            </w:r>
            <w:proofErr w:type="spellEnd"/>
            <w:r>
              <w:t>.</w:t>
            </w: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D1277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1277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D12774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AABC" w14:textId="77777777" w:rsidR="00C13255" w:rsidRDefault="00C13255" w:rsidP="007900C1">
      <w:r>
        <w:separator/>
      </w:r>
    </w:p>
  </w:endnote>
  <w:endnote w:type="continuationSeparator" w:id="0">
    <w:p w14:paraId="0ED68CD3" w14:textId="77777777" w:rsidR="00C13255" w:rsidRDefault="00C1325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960B" w14:textId="77777777" w:rsidR="00C13255" w:rsidRDefault="00C13255" w:rsidP="007900C1">
      <w:r>
        <w:separator/>
      </w:r>
    </w:p>
  </w:footnote>
  <w:footnote w:type="continuationSeparator" w:id="0">
    <w:p w14:paraId="24C6449A" w14:textId="77777777" w:rsidR="00C13255" w:rsidRDefault="00C13255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21C6"/>
    <w:rsid w:val="000E52FF"/>
    <w:rsid w:val="00106314"/>
    <w:rsid w:val="00113C2C"/>
    <w:rsid w:val="00114544"/>
    <w:rsid w:val="001334FC"/>
    <w:rsid w:val="001663AC"/>
    <w:rsid w:val="00166E9F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6566B"/>
    <w:rsid w:val="003850A7"/>
    <w:rsid w:val="003A78DE"/>
    <w:rsid w:val="003D61B8"/>
    <w:rsid w:val="003E0C5A"/>
    <w:rsid w:val="003F6B8D"/>
    <w:rsid w:val="0041240B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F0C0F"/>
    <w:rsid w:val="00507295"/>
    <w:rsid w:val="005265E1"/>
    <w:rsid w:val="00545CDC"/>
    <w:rsid w:val="00557BA2"/>
    <w:rsid w:val="005A51CF"/>
    <w:rsid w:val="005A67D1"/>
    <w:rsid w:val="005E412A"/>
    <w:rsid w:val="00686001"/>
    <w:rsid w:val="006C0D2C"/>
    <w:rsid w:val="006C47B6"/>
    <w:rsid w:val="006E0BA1"/>
    <w:rsid w:val="006E2C53"/>
    <w:rsid w:val="006F416A"/>
    <w:rsid w:val="00707EA7"/>
    <w:rsid w:val="007178B7"/>
    <w:rsid w:val="00722D6C"/>
    <w:rsid w:val="0072524A"/>
    <w:rsid w:val="00732593"/>
    <w:rsid w:val="00745655"/>
    <w:rsid w:val="007723AE"/>
    <w:rsid w:val="00773273"/>
    <w:rsid w:val="0077556D"/>
    <w:rsid w:val="00787789"/>
    <w:rsid w:val="007900C1"/>
    <w:rsid w:val="00791038"/>
    <w:rsid w:val="00796060"/>
    <w:rsid w:val="007A1D28"/>
    <w:rsid w:val="007A543C"/>
    <w:rsid w:val="007C283F"/>
    <w:rsid w:val="008563D7"/>
    <w:rsid w:val="00856A16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262E3"/>
    <w:rsid w:val="00A76425"/>
    <w:rsid w:val="00AD3328"/>
    <w:rsid w:val="00B0092A"/>
    <w:rsid w:val="00B24ED0"/>
    <w:rsid w:val="00B46148"/>
    <w:rsid w:val="00B505EC"/>
    <w:rsid w:val="00B50C4A"/>
    <w:rsid w:val="00B73919"/>
    <w:rsid w:val="00B7415C"/>
    <w:rsid w:val="00B97C29"/>
    <w:rsid w:val="00BA25DC"/>
    <w:rsid w:val="00BE49D1"/>
    <w:rsid w:val="00BF6595"/>
    <w:rsid w:val="00C13255"/>
    <w:rsid w:val="00CB1901"/>
    <w:rsid w:val="00CC2386"/>
    <w:rsid w:val="00CC5DB8"/>
    <w:rsid w:val="00CD4576"/>
    <w:rsid w:val="00D12774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1EB7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70B5A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1445-ACCF-4271-ACE5-01B7F66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Molnárová Lívia</cp:lastModifiedBy>
  <cp:revision>32</cp:revision>
  <dcterms:created xsi:type="dcterms:W3CDTF">2019-06-25T10:49:00Z</dcterms:created>
  <dcterms:modified xsi:type="dcterms:W3CDTF">2021-04-20T15:27:00Z</dcterms:modified>
</cp:coreProperties>
</file>